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Avsmakningsmeny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Äpple &amp; färskost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Löjrom &amp; dillkräm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Kanderad lök &amp; lagrad ost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Bröd &amp; salt smör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Välkomstbubbel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Vintersnacks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Kalvbräss à la Royal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Wagyuburgare &amp; tryffellök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Ostkaka &amp; saffransgrädde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Vinpaket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Shippori Mincho" w:hAnsi="Shippori Mincho"/>
          <w:sz w:val="22"/>
        </w:rPr>
        <w:t xml:space="preserve">Alkoholfritt paket</w:t>
      </w:r>
    </w:p>
    <w:p>
      <w:r>
        <w:br w:type="page"/>
      </w:r>
    </w:p>
    <w:p>
      <w:pPr>
        <w:jc w:val="center"/>
        <w:spacing w:after="280"/>
      </w:pPr>
      <w:r>
        <w:rPr>
          <w:rFonts w:ascii="Shippori Mincho" w:hAnsi="Shippori Mincho"/>
          <w:sz w:val="40"/>
        </w:rPr>
        <w:t xml:space="preserve">Matlagningskurser</w:t>
      </w:r>
    </w:p>
    <w:p>
      <w:pPr>
        <w:jc w:val="center"/>
        <w:spacing w:after="100"/>
      </w:pPr>
      <w:r>
        <w:rPr>
          <w:rFonts w:ascii="Shippori Mincho" w:hAnsi="Shippori Mincho"/>
          <w:sz w:val="14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Tema efter årstid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Fisk och skaldjur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Det medvetna köket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20"/>
      </w:pPr>
      <w:r>
        <w:rPr>
          <w:rFonts w:ascii="Shippori Mincho" w:hAnsi="Shippori Mincho"/>
          <w:sz w:val="22"/>
        </w:rPr>
        <w:t xml:space="preserve">Japans kök</w:t>
      </w:r>
    </w:p>
    <w:p>
      <w:pPr>
        <w:jc w:val="center"/>
        <w:spacing w:after="20"/>
      </w:pPr>
      <w:r>
        <w:rPr>
          <w:rFonts w:ascii="Shippori Mincho" w:hAnsi="Shippori Mincho"/>
          <w:sz w:val="17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